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D7" w:rsidRDefault="00B1366A" w:rsidP="00B1366A">
      <w:pPr>
        <w:jc w:val="center"/>
        <w:rPr>
          <w:b/>
        </w:rPr>
      </w:pPr>
      <w:r>
        <w:rPr>
          <w:b/>
        </w:rPr>
        <w:t>T</w:t>
      </w:r>
      <w:r w:rsidRPr="001211C0">
        <w:rPr>
          <w:b/>
        </w:rPr>
        <w:t xml:space="preserve">Ỷ LỆ ĐÓNG BẢO HIỂM XÃ HỘI </w:t>
      </w:r>
      <w:r>
        <w:rPr>
          <w:b/>
        </w:rPr>
        <w:t xml:space="preserve">BẮT BUỘC </w:t>
      </w:r>
      <w:r w:rsidRPr="001211C0">
        <w:rPr>
          <w:b/>
        </w:rPr>
        <w:t xml:space="preserve">CHO </w:t>
      </w:r>
      <w:r>
        <w:rPr>
          <w:b/>
        </w:rPr>
        <w:t>NLĐ</w:t>
      </w:r>
      <w:r w:rsidRPr="001211C0">
        <w:rPr>
          <w:b/>
        </w:rPr>
        <w:t xml:space="preserve"> </w:t>
      </w:r>
      <w:r>
        <w:rPr>
          <w:b/>
        </w:rPr>
        <w:t>NĂM 2020</w:t>
      </w:r>
    </w:p>
    <w:p w:rsidR="00B1366A" w:rsidRPr="001211C0" w:rsidRDefault="00B1366A" w:rsidP="00B1366A">
      <w:pPr>
        <w:jc w:val="center"/>
        <w:rPr>
          <w:b/>
        </w:rPr>
      </w:pPr>
    </w:p>
    <w:p w:rsidR="001211C0" w:rsidRPr="00C26A70" w:rsidRDefault="001211C0" w:rsidP="001211C0">
      <w:r>
        <w:t xml:space="preserve">Theo quy định tại </w:t>
      </w:r>
      <w:r w:rsidRPr="00C26A70">
        <w:t>Quyết định 595/QĐ-BHXH, hiện nay, tổng cộng có 03 loại bảo hiểm mà doanh nghiệp phải đóng cho người lao động, bao gồm: Bảo hiểm xã hội (hưu trí, ốm đau, thai sản), bảo hiểm y tế và bảo hiểm thất nghiệp.</w:t>
      </w:r>
    </w:p>
    <w:p w:rsidR="001211C0" w:rsidRPr="00C26A70" w:rsidRDefault="001211C0" w:rsidP="001211C0">
      <w:r w:rsidRPr="00C26A70">
        <w:t>Theo đó, tỷ lệ đóng các loại bảo hiểm này cụ thể như sau:</w:t>
      </w:r>
    </w:p>
    <w:p w:rsidR="001211C0" w:rsidRPr="007930B5" w:rsidRDefault="001211C0" w:rsidP="001211C0">
      <w:r w:rsidRPr="007930B5">
        <w:rPr>
          <w:b/>
          <w:bCs/>
        </w:rPr>
        <w:t>1. Đối với người lao động Việt Nam</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
        <w:gridCol w:w="900"/>
        <w:gridCol w:w="900"/>
        <w:gridCol w:w="900"/>
        <w:gridCol w:w="900"/>
        <w:gridCol w:w="900"/>
        <w:gridCol w:w="900"/>
        <w:gridCol w:w="900"/>
        <w:gridCol w:w="900"/>
        <w:gridCol w:w="915"/>
      </w:tblGrid>
      <w:tr w:rsidR="001211C0" w:rsidRPr="007930B5" w:rsidTr="00281FEA">
        <w:trPr>
          <w:jc w:val="center"/>
        </w:trPr>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Người sử dụng lao động</w:t>
            </w:r>
          </w:p>
        </w:tc>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Người lao động</w:t>
            </w:r>
          </w:p>
        </w:tc>
      </w:tr>
      <w:tr w:rsidR="001211C0" w:rsidRPr="007930B5" w:rsidTr="00281FEA">
        <w:trPr>
          <w:jc w:val="center"/>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Bảo hiểm xã hội</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TNLĐ - BNN</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thất nghiệp</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y tế</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xã hội</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TNLĐ - BNN</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thất nghiệp</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y tế</w:t>
            </w:r>
          </w:p>
        </w:tc>
      </w:tr>
      <w:tr w:rsidR="001211C0" w:rsidRPr="007930B5" w:rsidTr="00281FEA">
        <w:trP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Hưu trí, tử tuất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Ốm đau, thai sản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Hưu trí, tử tuất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Ốm đau, thai sản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r>
      <w:tr w:rsidR="001211C0" w:rsidRPr="007930B5" w:rsidTr="00281FEA">
        <w:trP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14%</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0.5%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8%</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1.5%</w:t>
            </w:r>
          </w:p>
        </w:tc>
      </w:tr>
      <w:tr w:rsidR="001211C0" w:rsidRPr="007930B5" w:rsidTr="00281FEA">
        <w:trPr>
          <w:jc w:val="center"/>
        </w:trPr>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21.5%</w:t>
            </w:r>
          </w:p>
        </w:tc>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10.5%</w:t>
            </w:r>
          </w:p>
        </w:tc>
      </w:tr>
      <w:tr w:rsidR="001211C0" w:rsidRPr="007930B5" w:rsidTr="00281FEA">
        <w:trPr>
          <w:jc w:val="center"/>
        </w:trPr>
        <w:tc>
          <w:tcPr>
            <w:tcW w:w="9015"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Tổng cộng: 32%</w:t>
            </w:r>
          </w:p>
        </w:tc>
      </w:tr>
    </w:tbl>
    <w:p w:rsidR="001211C0" w:rsidRDefault="001211C0" w:rsidP="001211C0">
      <w:pPr>
        <w:rPr>
          <w:b/>
          <w:bCs/>
        </w:rPr>
      </w:pPr>
      <w:bookmarkStart w:id="0" w:name="_GoBack"/>
      <w:bookmarkEnd w:id="0"/>
    </w:p>
    <w:p w:rsidR="001211C0" w:rsidRPr="007930B5" w:rsidRDefault="001211C0" w:rsidP="001211C0">
      <w:r w:rsidRPr="007930B5">
        <w:rPr>
          <w:b/>
          <w:bCs/>
        </w:rPr>
        <w:t>2. Đối với người lao động nước ngoài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
        <w:gridCol w:w="900"/>
        <w:gridCol w:w="900"/>
        <w:gridCol w:w="900"/>
        <w:gridCol w:w="900"/>
        <w:gridCol w:w="900"/>
        <w:gridCol w:w="900"/>
        <w:gridCol w:w="900"/>
        <w:gridCol w:w="900"/>
        <w:gridCol w:w="915"/>
      </w:tblGrid>
      <w:tr w:rsidR="001211C0" w:rsidRPr="007930B5" w:rsidTr="00281FEA">
        <w:trPr>
          <w:jc w:val="center"/>
        </w:trPr>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Người sử dụng lao động</w:t>
            </w:r>
          </w:p>
        </w:tc>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Người lao động</w:t>
            </w:r>
          </w:p>
        </w:tc>
      </w:tr>
      <w:tr w:rsidR="001211C0" w:rsidRPr="007930B5" w:rsidTr="00281FEA">
        <w:trPr>
          <w:jc w:val="center"/>
        </w:trPr>
        <w:tc>
          <w:tcPr>
            <w:tcW w:w="18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Bảo hiểm xã hội</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TNLĐ - BNN</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thất nghiệp</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y tế</w:t>
            </w:r>
          </w:p>
        </w:tc>
        <w:tc>
          <w:tcPr>
            <w:tcW w:w="18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xã hội</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TNLĐ - BNN</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thất nghiệp</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Bảo hiểm y tế</w:t>
            </w:r>
          </w:p>
        </w:tc>
      </w:tr>
      <w:tr w:rsidR="001211C0" w:rsidRPr="007930B5" w:rsidTr="00281FEA">
        <w:trP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Hưu trí, tử tuất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Ốm đau, thai sản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Hưu trí, tử tuất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Ốm đau, thai sản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p>
        </w:tc>
      </w:tr>
      <w:tr w:rsidR="001211C0" w:rsidRPr="007930B5" w:rsidTr="00281FEA">
        <w:trP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281FEA">
            <w:pPr>
              <w:jc w:val="center"/>
            </w:pPr>
            <w:r w:rsidRPr="007930B5">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0.5%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t>1.5%</w:t>
            </w:r>
          </w:p>
        </w:tc>
      </w:tr>
      <w:tr w:rsidR="001211C0" w:rsidRPr="007930B5" w:rsidTr="00281FEA">
        <w:trPr>
          <w:jc w:val="center"/>
        </w:trPr>
        <w:tc>
          <w:tcPr>
            <w:tcW w:w="450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6.5%</w:t>
            </w:r>
          </w:p>
        </w:tc>
        <w:tc>
          <w:tcPr>
            <w:tcW w:w="45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1.5%</w:t>
            </w:r>
          </w:p>
        </w:tc>
      </w:tr>
      <w:tr w:rsidR="001211C0" w:rsidRPr="007930B5" w:rsidTr="00281FEA">
        <w:trPr>
          <w:jc w:val="center"/>
        </w:trPr>
        <w:tc>
          <w:tcPr>
            <w:tcW w:w="9015"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1211C0" w:rsidRPr="007930B5" w:rsidRDefault="001211C0" w:rsidP="00B1366A">
            <w:pPr>
              <w:spacing w:before="100" w:after="100"/>
              <w:jc w:val="center"/>
            </w:pPr>
            <w:r w:rsidRPr="007930B5">
              <w:rPr>
                <w:b/>
                <w:bCs/>
              </w:rPr>
              <w:t>Tổng cộng: 8%</w:t>
            </w:r>
          </w:p>
        </w:tc>
      </w:tr>
    </w:tbl>
    <w:p w:rsidR="001211C0" w:rsidRDefault="001211C0" w:rsidP="001211C0"/>
    <w:p w:rsidR="001211C0" w:rsidRDefault="001211C0" w:rsidP="001211C0">
      <w:r w:rsidRPr="007930B5">
        <w:t>Như vậy, hàng tháng người sử dụng lao động phải tự đóng và trích vào lương của người lao động để đóng các khoản bảo hiểm cho người lao động Việt Nam với tỷ lệ tổng cộng là 32% tiền lương tính đóng BHXH và 8% tiền lương tính đóng BHXH cho người lao động nước ngoài.</w:t>
      </w:r>
    </w:p>
    <w:p w:rsidR="001211C0" w:rsidRPr="00B1366A" w:rsidRDefault="008A656D">
      <w:pPr>
        <w:rPr>
          <w:b/>
          <w:u w:val="single"/>
        </w:rPr>
      </w:pPr>
      <w:r w:rsidRPr="00B1366A">
        <w:rPr>
          <w:b/>
          <w:u w:val="single"/>
        </w:rPr>
        <w:t>Căn cứ pháp lý:</w:t>
      </w:r>
    </w:p>
    <w:p w:rsidR="008A656D" w:rsidRDefault="00B1366A">
      <w:r>
        <w:lastRenderedPageBreak/>
        <w:t xml:space="preserve">- </w:t>
      </w:r>
      <w:hyperlink r:id="rId5" w:history="1">
        <w:r w:rsidR="008A656D" w:rsidRPr="00B1366A">
          <w:rPr>
            <w:rStyle w:val="Hyperlink"/>
          </w:rPr>
          <w:t>Luật Bảo hiểm xã hội 2014</w:t>
        </w:r>
      </w:hyperlink>
      <w:r w:rsidR="008A656D">
        <w:t>;</w:t>
      </w:r>
    </w:p>
    <w:p w:rsidR="001563E0" w:rsidRDefault="00B1366A">
      <w:r>
        <w:t xml:space="preserve">- </w:t>
      </w:r>
      <w:hyperlink r:id="rId6" w:history="1">
        <w:r w:rsidR="008A656D" w:rsidRPr="00B1366A">
          <w:rPr>
            <w:rStyle w:val="Hyperlink"/>
          </w:rPr>
          <w:t xml:space="preserve">Quyết định </w:t>
        </w:r>
        <w:r w:rsidR="001563E0" w:rsidRPr="00B1366A">
          <w:rPr>
            <w:rStyle w:val="Hyperlink"/>
          </w:rPr>
          <w:t>595/QĐ-BHXH</w:t>
        </w:r>
      </w:hyperlink>
      <w:r w:rsidR="001563E0">
        <w:t xml:space="preserve"> </w:t>
      </w:r>
      <w:r w:rsidR="001563E0" w:rsidRPr="001563E0">
        <w:t>ban hành quy trình thu bảo hiểm xã hội, bảo hiểm y tế, bảo hiểm thất nghiệp, bảo hiểm tai nạn lao động - bệnh nghề nghiệp; quản lý sổ bảo hiểm xã hội, thẻ bảo hiểm y tế</w:t>
      </w:r>
      <w:r w:rsidR="001563E0">
        <w:t>;</w:t>
      </w:r>
    </w:p>
    <w:p w:rsidR="001563E0" w:rsidRPr="001563E0" w:rsidRDefault="00B1366A">
      <w:r>
        <w:rPr>
          <w:bCs/>
        </w:rPr>
        <w:t xml:space="preserve">- </w:t>
      </w:r>
      <w:hyperlink r:id="rId7" w:history="1">
        <w:r w:rsidR="001563E0" w:rsidRPr="00B1366A">
          <w:rPr>
            <w:rStyle w:val="Hyperlink"/>
            <w:bCs/>
          </w:rPr>
          <w:t>Quyết định 888/QĐ-BHXH</w:t>
        </w:r>
      </w:hyperlink>
      <w:r w:rsidR="001563E0" w:rsidRPr="001563E0">
        <w:rPr>
          <w:bCs/>
        </w:rPr>
        <w:t xml:space="preserve"> sửa đổi, bổ sung một số điều quy trình thu bảo hiểm xã hội, bảo hiểm y tế, bảo hiểm thất nghiệp, bảo hiểm tai nạn lao động, bệnh nghề nghiệp; quản lý sổ bảo hiểm xã hội, thẻ bảo hiểm y tế ban hành kèm theo </w:t>
      </w:r>
      <w:r w:rsidR="001563E0">
        <w:t xml:space="preserve">Quyết định </w:t>
      </w:r>
      <w:r w:rsidR="001563E0" w:rsidRPr="001563E0">
        <w:t>595/QĐ-BHXH</w:t>
      </w:r>
      <w:r w:rsidR="001563E0">
        <w:t>.</w:t>
      </w:r>
    </w:p>
    <w:sectPr w:rsidR="001563E0" w:rsidRPr="001563E0"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C0"/>
    <w:rsid w:val="001211C0"/>
    <w:rsid w:val="001563E0"/>
    <w:rsid w:val="00176964"/>
    <w:rsid w:val="00406878"/>
    <w:rsid w:val="006D3F90"/>
    <w:rsid w:val="008062D7"/>
    <w:rsid w:val="008A656D"/>
    <w:rsid w:val="009B0E66"/>
    <w:rsid w:val="00B1366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381">
      <w:bodyDiv w:val="1"/>
      <w:marLeft w:val="0"/>
      <w:marRight w:val="0"/>
      <w:marTop w:val="0"/>
      <w:marBottom w:val="0"/>
      <w:divBdr>
        <w:top w:val="none" w:sz="0" w:space="0" w:color="auto"/>
        <w:left w:val="none" w:sz="0" w:space="0" w:color="auto"/>
        <w:bottom w:val="none" w:sz="0" w:space="0" w:color="auto"/>
        <w:right w:val="none" w:sz="0" w:space="0" w:color="auto"/>
      </w:divBdr>
    </w:div>
    <w:div w:id="351304074">
      <w:bodyDiv w:val="1"/>
      <w:marLeft w:val="0"/>
      <w:marRight w:val="0"/>
      <w:marTop w:val="0"/>
      <w:marBottom w:val="0"/>
      <w:divBdr>
        <w:top w:val="none" w:sz="0" w:space="0" w:color="auto"/>
        <w:left w:val="none" w:sz="0" w:space="0" w:color="auto"/>
        <w:bottom w:val="none" w:sz="0" w:space="0" w:color="auto"/>
        <w:right w:val="none" w:sz="0" w:space="0" w:color="auto"/>
      </w:divBdr>
    </w:div>
    <w:div w:id="20112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quyet-dinh-888-qd-bhxh-2018-sua-doi-quyet-dinh-595-qd-bhxh-ve-quy-trinh-thu-bao-hiem-5ee4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quyet-dinh-595-qd-bhxh-quy-trinh-thu-cac-loai-bao-hiem-cap-so-bao-hiem-the-bao-hiem-2017-54f8f.html" TargetMode="External"/><Relationship Id="rId5" Type="http://schemas.openxmlformats.org/officeDocument/2006/relationships/hyperlink" Target="https://thukyluat.vn/vb/luat-bao-hiem-xa-hoi-2014-3f67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2020-04-18T07:35:00Z</dcterms:created>
  <dcterms:modified xsi:type="dcterms:W3CDTF">2020-04-18T07:35:00Z</dcterms:modified>
</cp:coreProperties>
</file>