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B9" w:rsidRDefault="008C6DE9" w:rsidP="007456BA">
      <w:pPr>
        <w:jc w:val="center"/>
        <w:rPr>
          <w:b/>
        </w:rPr>
      </w:pPr>
      <w:r>
        <w:rPr>
          <w:b/>
        </w:rPr>
        <w:t>Tổng hợp mức</w:t>
      </w:r>
      <w:bookmarkStart w:id="0" w:name="_GoBack"/>
      <w:bookmarkEnd w:id="0"/>
      <w:r w:rsidR="00F610D0" w:rsidRPr="00C83F55">
        <w:rPr>
          <w:b/>
        </w:rPr>
        <w:t xml:space="preserve"> phạt tiền các hành </w:t>
      </w:r>
      <w:proofErr w:type="gramStart"/>
      <w:r w:rsidR="00F610D0" w:rsidRPr="00C83F55">
        <w:rPr>
          <w:b/>
        </w:rPr>
        <w:t>vi</w:t>
      </w:r>
      <w:proofErr w:type="gramEnd"/>
      <w:r w:rsidR="00F610D0" w:rsidRPr="00C83F55">
        <w:rPr>
          <w:b/>
        </w:rPr>
        <w:t xml:space="preserve"> vi phạm về hoạt động kiểm toán</w:t>
      </w:r>
    </w:p>
    <w:p w:rsidR="00C83F55" w:rsidRPr="00C83F55" w:rsidRDefault="00C83F55">
      <w:pPr>
        <w:rPr>
          <w:b/>
        </w:rPr>
      </w:pPr>
    </w:p>
    <w:tbl>
      <w:tblPr>
        <w:tblStyle w:val="TableGrid"/>
        <w:tblW w:w="0" w:type="auto"/>
        <w:tblLook w:val="04A0" w:firstRow="1" w:lastRow="0" w:firstColumn="1" w:lastColumn="0" w:noHBand="0" w:noVBand="1"/>
      </w:tblPr>
      <w:tblGrid>
        <w:gridCol w:w="538"/>
        <w:gridCol w:w="1520"/>
        <w:gridCol w:w="5417"/>
        <w:gridCol w:w="1875"/>
      </w:tblGrid>
      <w:tr w:rsidR="00F610D0" w:rsidRPr="009464F5" w:rsidTr="009464F5">
        <w:tc>
          <w:tcPr>
            <w:tcW w:w="445" w:type="dxa"/>
            <w:vAlign w:val="center"/>
          </w:tcPr>
          <w:p w:rsidR="00F610D0" w:rsidRPr="009464F5" w:rsidRDefault="00F610D0" w:rsidP="009464F5">
            <w:pPr>
              <w:spacing w:before="100" w:after="100"/>
              <w:jc w:val="center"/>
              <w:rPr>
                <w:b/>
              </w:rPr>
            </w:pPr>
            <w:r w:rsidRPr="009464F5">
              <w:rPr>
                <w:b/>
              </w:rPr>
              <w:t>ST</w:t>
            </w:r>
            <w:r w:rsidR="009464F5">
              <w:rPr>
                <w:b/>
              </w:rPr>
              <w:t>T</w:t>
            </w:r>
          </w:p>
        </w:tc>
        <w:tc>
          <w:tcPr>
            <w:tcW w:w="1530" w:type="dxa"/>
            <w:vAlign w:val="center"/>
          </w:tcPr>
          <w:p w:rsidR="00F610D0" w:rsidRPr="009464F5" w:rsidRDefault="00F610D0" w:rsidP="009464F5">
            <w:pPr>
              <w:spacing w:before="100" w:after="100"/>
              <w:jc w:val="center"/>
              <w:rPr>
                <w:b/>
              </w:rPr>
            </w:pPr>
            <w:r w:rsidRPr="009464F5">
              <w:rPr>
                <w:b/>
              </w:rPr>
              <w:t>Loại vi phạm</w:t>
            </w:r>
          </w:p>
        </w:tc>
        <w:tc>
          <w:tcPr>
            <w:tcW w:w="5490" w:type="dxa"/>
            <w:vAlign w:val="center"/>
          </w:tcPr>
          <w:p w:rsidR="00F610D0" w:rsidRPr="009464F5" w:rsidRDefault="00F610D0" w:rsidP="009464F5">
            <w:pPr>
              <w:spacing w:before="100" w:after="100"/>
              <w:jc w:val="center"/>
              <w:rPr>
                <w:b/>
              </w:rPr>
            </w:pPr>
            <w:r w:rsidRPr="009464F5">
              <w:rPr>
                <w:b/>
              </w:rPr>
              <w:t>Hành vi vi phạm</w:t>
            </w:r>
          </w:p>
        </w:tc>
        <w:tc>
          <w:tcPr>
            <w:tcW w:w="1885" w:type="dxa"/>
            <w:vAlign w:val="center"/>
          </w:tcPr>
          <w:p w:rsidR="00F610D0" w:rsidRPr="009464F5" w:rsidRDefault="00F610D0" w:rsidP="009464F5">
            <w:pPr>
              <w:spacing w:before="100" w:after="100"/>
              <w:jc w:val="center"/>
              <w:rPr>
                <w:b/>
              </w:rPr>
            </w:pPr>
            <w:r w:rsidRPr="009464F5">
              <w:rPr>
                <w:b/>
              </w:rPr>
              <w:t>Mức phạt tiền</w:t>
            </w:r>
          </w:p>
        </w:tc>
      </w:tr>
      <w:tr w:rsidR="009464F5" w:rsidTr="009464F5">
        <w:tc>
          <w:tcPr>
            <w:tcW w:w="445" w:type="dxa"/>
            <w:vMerge w:val="restart"/>
            <w:vAlign w:val="center"/>
          </w:tcPr>
          <w:p w:rsidR="009464F5" w:rsidRDefault="009464F5" w:rsidP="009464F5">
            <w:pPr>
              <w:spacing w:before="100" w:after="100"/>
              <w:jc w:val="center"/>
            </w:pPr>
            <w:r>
              <w:t>1</w:t>
            </w:r>
          </w:p>
        </w:tc>
        <w:tc>
          <w:tcPr>
            <w:tcW w:w="1530" w:type="dxa"/>
            <w:vMerge w:val="restart"/>
            <w:vAlign w:val="center"/>
          </w:tcPr>
          <w:p w:rsidR="009464F5" w:rsidRDefault="009464F5" w:rsidP="009464F5">
            <w:pPr>
              <w:spacing w:before="100" w:after="100"/>
              <w:ind w:left="69"/>
            </w:pPr>
            <w:r>
              <w:t>V</w:t>
            </w:r>
            <w:r w:rsidRPr="00F610D0">
              <w:t>i phạm quy định về mua bảo hiểm trách nhiệm nghề nghiệp cho kiểm toán viên hành nghề hoặc trích lập quỹ dự phòng rủi ro nghề nghiệp</w:t>
            </w:r>
          </w:p>
        </w:tc>
        <w:tc>
          <w:tcPr>
            <w:tcW w:w="5490" w:type="dxa"/>
            <w:vAlign w:val="center"/>
          </w:tcPr>
          <w:p w:rsidR="009464F5" w:rsidRDefault="009464F5" w:rsidP="009464F5">
            <w:pPr>
              <w:spacing w:before="100" w:after="100"/>
              <w:ind w:left="69"/>
            </w:pPr>
            <w:r>
              <w:t>D</w:t>
            </w:r>
            <w:r w:rsidRPr="00F610D0">
              <w:t>oanh nghiệp kiểm toán thực hiện việc mua bảo hiểm trách nhiệm nghề nghiệp cho kiểm toán viên hành nghề hoặc trích lập quỹ dự phòng rủi ro nghề nghiệp không đúng với quy định của Bộ Tài chính</w:t>
            </w:r>
          </w:p>
        </w:tc>
        <w:tc>
          <w:tcPr>
            <w:tcW w:w="1885" w:type="dxa"/>
            <w:vAlign w:val="center"/>
          </w:tcPr>
          <w:p w:rsidR="009464F5" w:rsidRDefault="009464F5" w:rsidP="009464F5">
            <w:pPr>
              <w:spacing w:before="100" w:after="100"/>
              <w:ind w:left="69"/>
            </w:pPr>
            <w:r w:rsidRPr="00F610D0">
              <w:t>Phạt tiền từ 5.000.000 đồng đến 10.000.000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 không thực hiện việc mua bảo hiểm trách nhiệm nghề nghiệp cho kiểm toán viên hành nghề hoặc trích lập quỹ dự phòng rủi ro nghề nghiệp</w:t>
            </w:r>
          </w:p>
        </w:tc>
        <w:tc>
          <w:tcPr>
            <w:tcW w:w="1885" w:type="dxa"/>
            <w:vAlign w:val="center"/>
          </w:tcPr>
          <w:p w:rsidR="009464F5" w:rsidRDefault="009464F5" w:rsidP="009464F5">
            <w:pPr>
              <w:spacing w:before="100" w:after="100"/>
              <w:ind w:left="69"/>
            </w:pPr>
            <w:r w:rsidRPr="00F610D0">
              <w:t>Phạt tiền từ 10.000.000 đồng đến 20.000.000 đồng</w:t>
            </w:r>
          </w:p>
        </w:tc>
      </w:tr>
      <w:tr w:rsidR="009464F5" w:rsidTr="009464F5">
        <w:tc>
          <w:tcPr>
            <w:tcW w:w="445" w:type="dxa"/>
            <w:vMerge w:val="restart"/>
            <w:vAlign w:val="center"/>
          </w:tcPr>
          <w:p w:rsidR="009464F5" w:rsidRDefault="009464F5" w:rsidP="009464F5">
            <w:pPr>
              <w:spacing w:before="100" w:after="100"/>
              <w:jc w:val="center"/>
            </w:pPr>
            <w:r>
              <w:t>2</w:t>
            </w:r>
          </w:p>
        </w:tc>
        <w:tc>
          <w:tcPr>
            <w:tcW w:w="1530" w:type="dxa"/>
            <w:vMerge w:val="restart"/>
            <w:vAlign w:val="center"/>
          </w:tcPr>
          <w:p w:rsidR="009464F5" w:rsidRDefault="009464F5" w:rsidP="009464F5">
            <w:pPr>
              <w:spacing w:before="100" w:after="100"/>
              <w:ind w:left="69"/>
            </w:pPr>
            <w:r>
              <w:t>V</w:t>
            </w:r>
            <w:r w:rsidRPr="00F610D0">
              <w:t>i phạm quy định về chấp nhận thực hiện kiểm toán</w:t>
            </w:r>
          </w:p>
        </w:tc>
        <w:tc>
          <w:tcPr>
            <w:tcW w:w="5490" w:type="dxa"/>
            <w:vAlign w:val="center"/>
          </w:tcPr>
          <w:p w:rsidR="009464F5" w:rsidRDefault="009464F5" w:rsidP="009464F5">
            <w:pPr>
              <w:spacing w:before="100" w:after="100"/>
              <w:ind w:left="69"/>
            </w:pPr>
            <w:r w:rsidRPr="00F610D0">
              <w:t>Thực hiện kiểm toán cho khách hàng khi không bảo đảm tính độc lập, không đủ năng lực chuyên môn, không đủ điều kiện theo quy định của pháp luật</w:t>
            </w:r>
          </w:p>
        </w:tc>
        <w:tc>
          <w:tcPr>
            <w:tcW w:w="1885" w:type="dxa"/>
            <w:vMerge w:val="restart"/>
            <w:vAlign w:val="center"/>
          </w:tcPr>
          <w:p w:rsidR="009464F5" w:rsidRDefault="009464F5" w:rsidP="009464F5">
            <w:pPr>
              <w:spacing w:before="100" w:after="100"/>
              <w:ind w:left="69"/>
            </w:pPr>
            <w:r w:rsidRPr="00F610D0">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F610D0">
              <w:t>Thực hiện kiểm toán cho khách hàng khi khách hàng, đơn vị được kiểm toán có yêu cầu trái với đạo đức nghề nghiệp, yêu cầu về chuyên môn, nghiệp vụ hoặc trái với quy định của pháp luật</w:t>
            </w:r>
          </w:p>
        </w:tc>
        <w:tc>
          <w:tcPr>
            <w:tcW w:w="1885" w:type="dxa"/>
            <w:vMerge/>
            <w:vAlign w:val="center"/>
          </w:tcPr>
          <w:p w:rsidR="009464F5" w:rsidRDefault="009464F5" w:rsidP="009464F5">
            <w:pPr>
              <w:spacing w:before="100" w:after="100"/>
              <w:ind w:left="69"/>
            </w:pPr>
          </w:p>
        </w:tc>
      </w:tr>
      <w:tr w:rsidR="009464F5" w:rsidTr="009464F5">
        <w:tc>
          <w:tcPr>
            <w:tcW w:w="445" w:type="dxa"/>
            <w:vMerge w:val="restart"/>
            <w:vAlign w:val="center"/>
          </w:tcPr>
          <w:p w:rsidR="009464F5" w:rsidRDefault="009464F5" w:rsidP="009464F5">
            <w:pPr>
              <w:spacing w:before="100" w:after="100"/>
              <w:jc w:val="center"/>
            </w:pPr>
            <w:r>
              <w:t>3</w:t>
            </w:r>
          </w:p>
        </w:tc>
        <w:tc>
          <w:tcPr>
            <w:tcW w:w="1530" w:type="dxa"/>
            <w:vMerge w:val="restart"/>
            <w:vAlign w:val="center"/>
          </w:tcPr>
          <w:p w:rsidR="009464F5" w:rsidRDefault="009464F5" w:rsidP="009464F5">
            <w:pPr>
              <w:spacing w:before="100" w:after="100"/>
              <w:ind w:left="69"/>
            </w:pPr>
            <w:r>
              <w:t>V</w:t>
            </w:r>
            <w:r w:rsidRPr="00F610D0">
              <w:t>i phạm quy định về hợp đồng kiểm toán</w:t>
            </w:r>
          </w:p>
        </w:tc>
        <w:tc>
          <w:tcPr>
            <w:tcW w:w="5490" w:type="dxa"/>
            <w:vAlign w:val="center"/>
          </w:tcPr>
          <w:p w:rsidR="009464F5" w:rsidRDefault="009464F5" w:rsidP="009464F5">
            <w:pPr>
              <w:spacing w:before="100" w:after="100"/>
              <w:ind w:left="69"/>
            </w:pPr>
            <w:r>
              <w:t>D</w:t>
            </w:r>
            <w:r w:rsidRPr="00F610D0">
              <w:t>oanh nghiệp kiểm toán giao kết hợp đồng kiểm toán với khách hàng, đơn vị được kiểm toán không đầy đủ các nội dung theo quy định</w:t>
            </w:r>
          </w:p>
        </w:tc>
        <w:tc>
          <w:tcPr>
            <w:tcW w:w="1885" w:type="dxa"/>
            <w:vAlign w:val="center"/>
          </w:tcPr>
          <w:p w:rsidR="009464F5" w:rsidRDefault="009464F5" w:rsidP="009464F5">
            <w:pPr>
              <w:spacing w:before="100" w:after="100"/>
              <w:ind w:left="69"/>
            </w:pPr>
            <w:r w:rsidRPr="00F610D0">
              <w:t>Phạt cảnh cáo</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 giao kết hợp đồng kiểm toán với khách hàng, đơn vị được kiểm toán sau khi thực hiện kiểm toán</w:t>
            </w:r>
          </w:p>
        </w:tc>
        <w:tc>
          <w:tcPr>
            <w:tcW w:w="1885" w:type="dxa"/>
            <w:vAlign w:val="center"/>
          </w:tcPr>
          <w:p w:rsidR="009464F5" w:rsidRDefault="009464F5" w:rsidP="009464F5">
            <w:pPr>
              <w:spacing w:before="100" w:after="100"/>
              <w:ind w:left="69"/>
            </w:pPr>
            <w:r w:rsidRPr="00F610D0">
              <w:t>Phạt tiền từ 5.000.000 đồng đến 10.000.000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 không giao kết hợp đồng kiểm toán với khách hàng, đơn vị được kiểm toán khi thực hiện kiểm toán</w:t>
            </w:r>
          </w:p>
        </w:tc>
        <w:tc>
          <w:tcPr>
            <w:tcW w:w="1885" w:type="dxa"/>
            <w:vAlign w:val="center"/>
          </w:tcPr>
          <w:p w:rsidR="009464F5" w:rsidRDefault="009464F5" w:rsidP="009464F5">
            <w:pPr>
              <w:spacing w:before="100" w:after="100"/>
              <w:ind w:left="69"/>
            </w:pPr>
            <w:r w:rsidRPr="00F610D0">
              <w:t>Phạt tiền từ 10.000.000 đồng đến 20.000.000 đồng</w:t>
            </w:r>
          </w:p>
        </w:tc>
      </w:tr>
      <w:tr w:rsidR="009464F5" w:rsidTr="009464F5">
        <w:tc>
          <w:tcPr>
            <w:tcW w:w="445" w:type="dxa"/>
            <w:vMerge w:val="restart"/>
            <w:vAlign w:val="center"/>
          </w:tcPr>
          <w:p w:rsidR="009464F5" w:rsidRDefault="009464F5" w:rsidP="009464F5">
            <w:pPr>
              <w:spacing w:before="100" w:after="100"/>
              <w:jc w:val="center"/>
            </w:pPr>
            <w:r>
              <w:t>4</w:t>
            </w:r>
          </w:p>
        </w:tc>
        <w:tc>
          <w:tcPr>
            <w:tcW w:w="1530" w:type="dxa"/>
            <w:vMerge w:val="restart"/>
            <w:vAlign w:val="center"/>
          </w:tcPr>
          <w:p w:rsidR="009464F5" w:rsidRDefault="009464F5" w:rsidP="009464F5">
            <w:pPr>
              <w:spacing w:before="100" w:after="100"/>
              <w:ind w:left="69"/>
            </w:pPr>
            <w:r>
              <w:t>V</w:t>
            </w:r>
            <w:r w:rsidRPr="00F610D0">
              <w:t>i phạm quy định về bảo mật</w:t>
            </w:r>
          </w:p>
        </w:tc>
        <w:tc>
          <w:tcPr>
            <w:tcW w:w="5490" w:type="dxa"/>
            <w:vAlign w:val="center"/>
          </w:tcPr>
          <w:p w:rsidR="009464F5" w:rsidRDefault="009464F5" w:rsidP="009464F5">
            <w:pPr>
              <w:spacing w:before="100" w:after="100"/>
              <w:ind w:left="69"/>
            </w:pPr>
            <w:r>
              <w:t>T</w:t>
            </w:r>
            <w:r w:rsidRPr="00F610D0">
              <w:t>iết lộ thông tin có liên quan đến hồ sơ kiểm toán, khách hàng, đơn vị được kiểm toán, trừ trường hợp khách hàng, đơn vị được kiểm toán chấp thuận hoặc theo quy định của pháp luật</w:t>
            </w:r>
          </w:p>
        </w:tc>
        <w:tc>
          <w:tcPr>
            <w:tcW w:w="1885" w:type="dxa"/>
            <w:vAlign w:val="center"/>
          </w:tcPr>
          <w:p w:rsidR="009464F5" w:rsidRDefault="009464F5" w:rsidP="009464F5">
            <w:pPr>
              <w:spacing w:before="100" w:after="100"/>
              <w:ind w:left="69"/>
            </w:pPr>
            <w:r w:rsidRPr="00F610D0">
              <w:t>Phạt tiền từ 5.000.000 đồng đến 10.000.000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 không xây dựng và vận hành hệ thống kiểm soát nội bộ nhằm bảo đảm thực hiện nghĩa vụ bảo mật</w:t>
            </w:r>
          </w:p>
        </w:tc>
        <w:tc>
          <w:tcPr>
            <w:tcW w:w="1885" w:type="dxa"/>
            <w:vAlign w:val="center"/>
          </w:tcPr>
          <w:p w:rsidR="009464F5" w:rsidRDefault="009464F5" w:rsidP="009464F5">
            <w:pPr>
              <w:spacing w:before="100" w:after="100"/>
              <w:ind w:left="69"/>
            </w:pPr>
            <w:r w:rsidRPr="00F610D0">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S</w:t>
            </w:r>
            <w:r w:rsidRPr="00F610D0">
              <w:t>ử dụng thông tin có liên quan đến hồ sơ kiểm toán, khách hàng, đơn vị được kiểm toán để xâm phạm lợi ích của Nhà nước, lợi ích công cộng, quyền, lợi ích hợp pháp của cơ quan, tổ chức, cá nhân</w:t>
            </w:r>
          </w:p>
        </w:tc>
        <w:tc>
          <w:tcPr>
            <w:tcW w:w="1885" w:type="dxa"/>
            <w:vAlign w:val="center"/>
          </w:tcPr>
          <w:p w:rsidR="009464F5" w:rsidRDefault="009464F5" w:rsidP="009464F5">
            <w:pPr>
              <w:spacing w:before="100" w:after="100"/>
              <w:ind w:left="69"/>
            </w:pPr>
            <w:r w:rsidRPr="00F610D0">
              <w:t>Phạt tiền từ 30.000.000 đồng đến 40.000.000 đồng</w:t>
            </w:r>
          </w:p>
        </w:tc>
      </w:tr>
      <w:tr w:rsidR="009464F5" w:rsidTr="009464F5">
        <w:tc>
          <w:tcPr>
            <w:tcW w:w="445" w:type="dxa"/>
            <w:vMerge w:val="restart"/>
            <w:vAlign w:val="center"/>
          </w:tcPr>
          <w:p w:rsidR="009464F5" w:rsidRDefault="009464F5" w:rsidP="009464F5">
            <w:pPr>
              <w:spacing w:before="100" w:after="100"/>
              <w:jc w:val="center"/>
            </w:pPr>
            <w:r>
              <w:t>5</w:t>
            </w:r>
          </w:p>
        </w:tc>
        <w:tc>
          <w:tcPr>
            <w:tcW w:w="1530" w:type="dxa"/>
            <w:vMerge w:val="restart"/>
            <w:vAlign w:val="center"/>
          </w:tcPr>
          <w:p w:rsidR="009464F5" w:rsidRDefault="009464F5" w:rsidP="009464F5">
            <w:pPr>
              <w:spacing w:before="100" w:after="100"/>
              <w:ind w:left="69"/>
            </w:pPr>
            <w:r>
              <w:t>V</w:t>
            </w:r>
            <w:r w:rsidRPr="00F610D0">
              <w:t>i phạm quy định về báo cáo kiểm toán</w:t>
            </w:r>
          </w:p>
        </w:tc>
        <w:tc>
          <w:tcPr>
            <w:tcW w:w="5490" w:type="dxa"/>
            <w:vAlign w:val="center"/>
          </w:tcPr>
          <w:p w:rsidR="009464F5" w:rsidRDefault="009464F5" w:rsidP="009464F5">
            <w:pPr>
              <w:spacing w:before="100" w:after="100"/>
              <w:ind w:left="69"/>
            </w:pPr>
            <w:r>
              <w:t>K</w:t>
            </w:r>
            <w:r w:rsidRPr="00F610D0">
              <w:t>iểm toán viên</w:t>
            </w:r>
            <w:r>
              <w:t xml:space="preserve"> ký </w:t>
            </w:r>
            <w:r w:rsidRPr="00F610D0">
              <w:t>báo cáo kiểm toán không đúng thẩm quyền theo quy định</w:t>
            </w:r>
          </w:p>
        </w:tc>
        <w:tc>
          <w:tcPr>
            <w:tcW w:w="1885" w:type="dxa"/>
            <w:vMerge w:val="restart"/>
            <w:vAlign w:val="center"/>
          </w:tcPr>
          <w:p w:rsidR="009464F5" w:rsidRDefault="009464F5" w:rsidP="009464F5">
            <w:pPr>
              <w:spacing w:before="100" w:after="100"/>
              <w:ind w:left="69"/>
            </w:pPr>
            <w:r w:rsidRPr="00F610D0">
              <w:t>Phạt tiền từ 5.000.000 đồng đến 10.000.000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K</w:t>
            </w:r>
            <w:r w:rsidRPr="00F610D0">
              <w:t>iểm toán viên</w:t>
            </w:r>
            <w:r>
              <w:t xml:space="preserve"> ký </w:t>
            </w:r>
            <w:r w:rsidRPr="00F610D0">
              <w:t>báo cáo kiểm toán trước ngày ký báo cáo tài chính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K</w:t>
            </w:r>
            <w:r w:rsidRPr="00F610D0">
              <w:t>iểm toán viên</w:t>
            </w:r>
            <w:r>
              <w:t xml:space="preserve"> ký </w:t>
            </w:r>
            <w:r w:rsidRPr="00F610D0">
              <w:t>báo cáo kiểm toán</w:t>
            </w:r>
            <w:r>
              <w:t xml:space="preserve"> </w:t>
            </w:r>
            <w:r w:rsidRPr="00F610D0">
              <w:t>khi không phải là kiểm toán viên hành nghề</w:t>
            </w:r>
          </w:p>
        </w:tc>
        <w:tc>
          <w:tcPr>
            <w:tcW w:w="1885" w:type="dxa"/>
            <w:vMerge w:val="restart"/>
            <w:vAlign w:val="center"/>
          </w:tcPr>
          <w:p w:rsidR="009464F5" w:rsidRDefault="009464F5" w:rsidP="009464F5">
            <w:pPr>
              <w:spacing w:before="100" w:after="100"/>
              <w:ind w:left="69"/>
            </w:pPr>
            <w:r w:rsidRPr="00F610D0">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K</w:t>
            </w:r>
            <w:r w:rsidRPr="00F610D0">
              <w:t>iểm toán viên</w:t>
            </w:r>
            <w:r>
              <w:t xml:space="preserve"> ký </w:t>
            </w:r>
            <w:r w:rsidRPr="00F610D0">
              <w:t>báo cáo kiểm toán</w:t>
            </w:r>
            <w:r>
              <w:t xml:space="preserve"> </w:t>
            </w:r>
            <w:r w:rsidRPr="00F610D0">
              <w:t>quá ba năm liên tục cho một đơn vị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bố </w:t>
            </w:r>
            <w:r w:rsidRPr="00F610D0">
              <w:t>trí kiểm toán viên hành nghề ký báo cáo kiểm toán không đúng thẩm quyền theo quy định</w:t>
            </w:r>
          </w:p>
        </w:tc>
        <w:tc>
          <w:tcPr>
            <w:tcW w:w="1885" w:type="dxa"/>
            <w:vMerge w:val="restart"/>
            <w:vAlign w:val="center"/>
          </w:tcPr>
          <w:p w:rsidR="009464F5" w:rsidRDefault="009464F5" w:rsidP="009464F5">
            <w:pPr>
              <w:spacing w:before="100" w:after="100"/>
              <w:ind w:left="69"/>
            </w:pPr>
            <w:r w:rsidRPr="00C83F55">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phát </w:t>
            </w:r>
            <w:r w:rsidRPr="00F610D0">
              <w:t>hành báo cáo kiểm toán mà ngày ký báo cáo kiểm toán trước ngày ký báo cáo tài chính</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lập </w:t>
            </w:r>
            <w:r w:rsidRPr="00C83F55">
              <w:t>báo cáo kiểm toán không có đầy đủ chữ ký của kiểm toán viên hành nghề theo quy định</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giải </w:t>
            </w:r>
            <w:r w:rsidRPr="00C83F55">
              <w:t>trình không đầy đủ, đúng thời gian quy định về các nội dung ngoại trừ trong báo cáo kiểm toán theo yêu cầu của cơ quan có thẩm quyền, của đại diện chủ sở hữu đơn vị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K</w:t>
            </w:r>
            <w:r w:rsidRPr="00C83F55">
              <w:t>hông giải trình về các nội dung ngoại trừ trong báo cáo kiểm toán theo yêu cầu của cơ quan có thẩm quyền, của đại diện chủ sở hữu đơn vị được kiểm toán</w:t>
            </w:r>
          </w:p>
        </w:tc>
        <w:tc>
          <w:tcPr>
            <w:tcW w:w="1885" w:type="dxa"/>
            <w:vAlign w:val="center"/>
          </w:tcPr>
          <w:p w:rsidR="009464F5" w:rsidRDefault="009464F5" w:rsidP="009464F5">
            <w:pPr>
              <w:spacing w:before="100" w:after="100"/>
              <w:ind w:left="69"/>
            </w:pPr>
            <w:r w:rsidRPr="00C83F55">
              <w:t>Phạt tiền từ 20.000.000 đồng đến 30.000.000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bố </w:t>
            </w:r>
            <w:r w:rsidRPr="00C83F55">
              <w:t>trí người ký báo cáo kiểm toán khi không phải là kiểm toán viên hành nghề</w:t>
            </w:r>
          </w:p>
        </w:tc>
        <w:tc>
          <w:tcPr>
            <w:tcW w:w="1885" w:type="dxa"/>
            <w:vMerge w:val="restart"/>
            <w:vAlign w:val="center"/>
          </w:tcPr>
          <w:p w:rsidR="009464F5" w:rsidRDefault="009464F5" w:rsidP="009464F5">
            <w:pPr>
              <w:spacing w:before="100" w:after="100"/>
              <w:ind w:left="69"/>
            </w:pPr>
            <w:r w:rsidRPr="00C83F55">
              <w:t>Phạt tiền từ 20.000.000 đồng đến 40.000.000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F610D0">
              <w:t>oanh nghiệp kiểm toán</w:t>
            </w:r>
            <w:r>
              <w:t xml:space="preserve"> bố </w:t>
            </w:r>
            <w:r w:rsidRPr="00C83F55">
              <w:t>trí kiểm toán viên hành nghề ký báo cáo kiểm toán quá 3 năm liên tục cho một đơn vị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restart"/>
            <w:vAlign w:val="center"/>
          </w:tcPr>
          <w:p w:rsidR="009464F5" w:rsidRDefault="009464F5" w:rsidP="009464F5">
            <w:pPr>
              <w:spacing w:before="100" w:after="100"/>
              <w:jc w:val="center"/>
            </w:pPr>
            <w:r>
              <w:lastRenderedPageBreak/>
              <w:t>6</w:t>
            </w:r>
          </w:p>
        </w:tc>
        <w:tc>
          <w:tcPr>
            <w:tcW w:w="1530" w:type="dxa"/>
            <w:vMerge w:val="restart"/>
            <w:vAlign w:val="center"/>
          </w:tcPr>
          <w:p w:rsidR="009464F5" w:rsidRDefault="009464F5" w:rsidP="009464F5">
            <w:pPr>
              <w:spacing w:before="100" w:after="100"/>
              <w:ind w:left="69"/>
            </w:pPr>
            <w:r>
              <w:t>V</w:t>
            </w:r>
            <w:r w:rsidRPr="00C83F55">
              <w:t>i phạm quy định về tính độc lập</w:t>
            </w:r>
          </w:p>
        </w:tc>
        <w:tc>
          <w:tcPr>
            <w:tcW w:w="5490" w:type="dxa"/>
            <w:vAlign w:val="center"/>
          </w:tcPr>
          <w:p w:rsidR="009464F5" w:rsidRDefault="009464F5" w:rsidP="009464F5">
            <w:pPr>
              <w:spacing w:before="100" w:after="100"/>
              <w:ind w:left="69"/>
            </w:pPr>
            <w:r w:rsidRPr="00C83F55">
              <w:t>Thông tin, giới thiệu sai sự thật về trình độ, kinh nghiệm và khả năng cung cấp dịch vụ của kiểm toán viên hành nghề và doanh nghiệp kiểm toán, chi nhánh doanh nghiệp kiểm toán nước ngoài tại Việt Nam</w:t>
            </w:r>
          </w:p>
        </w:tc>
        <w:tc>
          <w:tcPr>
            <w:tcW w:w="1885" w:type="dxa"/>
            <w:vMerge w:val="restart"/>
            <w:vAlign w:val="center"/>
          </w:tcPr>
          <w:p w:rsidR="009464F5" w:rsidRDefault="009464F5" w:rsidP="009464F5">
            <w:pPr>
              <w:spacing w:before="100" w:after="100"/>
              <w:ind w:left="69"/>
            </w:pPr>
            <w:r w:rsidRPr="00C83F55">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Mua, nhận, biếu, tặng, nắm giữ cổ phiếu hoặc phần vốn góp của đơn vị được kiểm toán không phân biệt số lượng</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Mua, bán trái phiếu hoặc tài sản khác của đơn vị được kiểm toán có ảnh hưởng đến tính độc lập theo quy định của chuẩn mực đạo đức nghề nghiệp kế toán,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Nhận hoặc đòi hỏi bất kỳ một khoản tiền, lợi ích nào khác từ đơn vị được kiểm toán ngoài khoản tiền dịch vụ và chi phí đã thỏa thuận trong hợp đồng đã giao kết</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Sách nhiễu, lừa dối khách hàng, đơn vị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Can thiệp vào hoạt động kinh doanh của khách hàng, đơn vị được kiểm toán trong quá trình thực hiện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Thực hiện thu nợ cho đơn vị được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Thông đồng, móc nối với đơn vị được kiểm toán để làm sai lệch tài liệu kế toán, báo cáo tài chính, hồ sơ kiểm toán và báo cáo sai lệch kết quả kiểm toán</w:t>
            </w:r>
          </w:p>
        </w:tc>
        <w:tc>
          <w:tcPr>
            <w:tcW w:w="1885" w:type="dxa"/>
            <w:vMerge w:val="restart"/>
            <w:vAlign w:val="center"/>
          </w:tcPr>
          <w:p w:rsidR="009464F5" w:rsidRDefault="009464F5" w:rsidP="009464F5">
            <w:pPr>
              <w:spacing w:before="100" w:after="100"/>
              <w:ind w:left="69"/>
            </w:pPr>
            <w:r w:rsidRPr="00C83F55">
              <w:t>Phạt tiền từ 20.000.000 đồng đến 30.000.000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Giả mạo, khai man hồ sơ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Thực hiện kiểm toán khi thuộc một trong các trường hợp không được thực hiện kiểm toán theo quy định của pháp luật</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Hành nghề kiểm toán với tư cách cá nhân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Làm việc cho từ hai doanh nghiệp kiểm toán, chi nhánh doanh nghiệp kiểm toán nước ngoài tại Việt Nam trở lên trong cùng một thời gian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Góp vốn vào từ hai doanh nghiệp kiểm toán trở lên</w:t>
            </w:r>
          </w:p>
        </w:tc>
        <w:tc>
          <w:tcPr>
            <w:tcW w:w="1885" w:type="dxa"/>
            <w:vMerge/>
            <w:vAlign w:val="center"/>
          </w:tcPr>
          <w:p w:rsidR="009464F5" w:rsidRDefault="009464F5" w:rsidP="009464F5">
            <w:pPr>
              <w:spacing w:before="100" w:after="100"/>
              <w:ind w:left="69"/>
            </w:pPr>
          </w:p>
        </w:tc>
      </w:tr>
      <w:tr w:rsidR="00F610D0" w:rsidTr="009464F5">
        <w:tc>
          <w:tcPr>
            <w:tcW w:w="445" w:type="dxa"/>
            <w:vAlign w:val="center"/>
          </w:tcPr>
          <w:p w:rsidR="00F610D0" w:rsidRDefault="009464F5" w:rsidP="009464F5">
            <w:pPr>
              <w:spacing w:before="100" w:after="100"/>
              <w:jc w:val="center"/>
            </w:pPr>
            <w:r>
              <w:t>7</w:t>
            </w:r>
          </w:p>
        </w:tc>
        <w:tc>
          <w:tcPr>
            <w:tcW w:w="1530" w:type="dxa"/>
            <w:vAlign w:val="center"/>
          </w:tcPr>
          <w:p w:rsidR="00F610D0" w:rsidRDefault="00C83F55" w:rsidP="009464F5">
            <w:pPr>
              <w:spacing w:before="100" w:after="100"/>
              <w:ind w:left="69"/>
            </w:pPr>
            <w:r>
              <w:t>V</w:t>
            </w:r>
            <w:r w:rsidRPr="00C83F55">
              <w:t>i phạm quy định về lập hồ sơ kiểm toán</w:t>
            </w:r>
          </w:p>
        </w:tc>
        <w:tc>
          <w:tcPr>
            <w:tcW w:w="5490" w:type="dxa"/>
            <w:vAlign w:val="center"/>
          </w:tcPr>
          <w:p w:rsidR="00F610D0" w:rsidRDefault="00C83F55" w:rsidP="009464F5">
            <w:pPr>
              <w:spacing w:before="100" w:after="100"/>
              <w:ind w:left="69"/>
            </w:pPr>
            <w:r>
              <w:t>K</w:t>
            </w:r>
            <w:r w:rsidRPr="00C83F55">
              <w:t>hông lập hồ sơ kiểm toán đối với cuộc kiểm toán</w:t>
            </w:r>
          </w:p>
        </w:tc>
        <w:tc>
          <w:tcPr>
            <w:tcW w:w="1885" w:type="dxa"/>
            <w:vAlign w:val="center"/>
          </w:tcPr>
          <w:p w:rsidR="00F610D0" w:rsidRDefault="00C83F55" w:rsidP="009464F5">
            <w:pPr>
              <w:spacing w:before="100" w:after="100"/>
              <w:ind w:left="69"/>
            </w:pPr>
            <w:r w:rsidRPr="00C83F55">
              <w:t>Phạt tiền từ 20.000.000 đồng đến 30.000.000 đồng</w:t>
            </w:r>
          </w:p>
        </w:tc>
      </w:tr>
      <w:tr w:rsidR="009464F5" w:rsidTr="009464F5">
        <w:tc>
          <w:tcPr>
            <w:tcW w:w="445" w:type="dxa"/>
            <w:vMerge w:val="restart"/>
            <w:vAlign w:val="center"/>
          </w:tcPr>
          <w:p w:rsidR="009464F5" w:rsidRDefault="009464F5" w:rsidP="009464F5">
            <w:pPr>
              <w:spacing w:before="100" w:after="100"/>
              <w:jc w:val="center"/>
            </w:pPr>
            <w:r>
              <w:t>8</w:t>
            </w:r>
          </w:p>
        </w:tc>
        <w:tc>
          <w:tcPr>
            <w:tcW w:w="1530" w:type="dxa"/>
            <w:vMerge w:val="restart"/>
            <w:vAlign w:val="center"/>
          </w:tcPr>
          <w:p w:rsidR="009464F5" w:rsidRDefault="009464F5" w:rsidP="009464F5">
            <w:pPr>
              <w:spacing w:before="100" w:after="100"/>
              <w:ind w:left="69"/>
            </w:pPr>
            <w:r>
              <w:t>V</w:t>
            </w:r>
            <w:r w:rsidRPr="00C83F55">
              <w:t xml:space="preserve">i phạm quy định về bảo </w:t>
            </w:r>
            <w:r w:rsidRPr="00C83F55">
              <w:lastRenderedPageBreak/>
              <w:t>quản, lưu trữ hồ sơ kiểm toán</w:t>
            </w:r>
          </w:p>
        </w:tc>
        <w:tc>
          <w:tcPr>
            <w:tcW w:w="5490" w:type="dxa"/>
            <w:vAlign w:val="center"/>
          </w:tcPr>
          <w:p w:rsidR="009464F5" w:rsidRDefault="009464F5" w:rsidP="009464F5">
            <w:pPr>
              <w:spacing w:before="100" w:after="100"/>
              <w:ind w:left="69"/>
            </w:pPr>
            <w:r>
              <w:lastRenderedPageBreak/>
              <w:t>D</w:t>
            </w:r>
            <w:r w:rsidRPr="00C83F55">
              <w:t xml:space="preserve">oanh nghiệp kiểm toán </w:t>
            </w:r>
            <w:r>
              <w:t>b</w:t>
            </w:r>
            <w:r w:rsidRPr="00C83F55">
              <w:t xml:space="preserve">ảo quản, lưu trữ hồ sơ kiểm toán không đầy đủ, an toàn, để hư hỏng, mất mát hồ sơ </w:t>
            </w:r>
            <w:r w:rsidRPr="00C83F55">
              <w:lastRenderedPageBreak/>
              <w:t>kiểm toán trong quá trình sử dụng và trong thời hạn lưu trữ</w:t>
            </w:r>
          </w:p>
        </w:tc>
        <w:tc>
          <w:tcPr>
            <w:tcW w:w="1885" w:type="dxa"/>
            <w:vMerge w:val="restart"/>
            <w:vAlign w:val="center"/>
          </w:tcPr>
          <w:p w:rsidR="009464F5" w:rsidRDefault="009464F5" w:rsidP="009464F5">
            <w:pPr>
              <w:spacing w:before="100" w:after="100"/>
              <w:ind w:left="69"/>
            </w:pPr>
            <w:r w:rsidRPr="00C83F55">
              <w:lastRenderedPageBreak/>
              <w:t xml:space="preserve">Phạt tiền từ 5.000.000 đồng </w:t>
            </w:r>
            <w:r w:rsidRPr="00C83F55">
              <w:lastRenderedPageBreak/>
              <w:t>đến 10.000.000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rsidRPr="00C83F55">
              <w:t xml:space="preserve">Doanh nghiệp kiểm toán </w:t>
            </w:r>
            <w:r>
              <w:t>đ</w:t>
            </w:r>
            <w:r w:rsidRPr="00C83F55">
              <w:t>ưa hồ sơ kiểm toán vào lưu trữ chậm quá 12 tháng kể từ ngày phát hành báo cáo kiểm toán của cuộc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C83F55">
              <w:t>oanh nghiệp kiểm toán</w:t>
            </w:r>
            <w:r>
              <w:t xml:space="preserve"> không </w:t>
            </w:r>
            <w:r w:rsidRPr="00C83F55">
              <w:t>thiết kế, thực hiện các chính sách và thủ tục để duy trì tính bảo mật, an toàn, toàn vẹn, có khả năng tiếp cận và phục hồi được của hồ sơ kiểm toán theo quy định của chuẩn mực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C83F55">
              <w:t>oanh nghiệp kiểm toán</w:t>
            </w:r>
            <w:r>
              <w:t xml:space="preserve"> không </w:t>
            </w:r>
            <w:r w:rsidRPr="00C83F55">
              <w:t>thiết kế, thực hiện các chính sách và thủ tục về lưu trữ hồ sơ kiểm toán trong thời gian tối thiểu 10 năm kể từ ngày phát hành báo cáo kiểm toán của cuộc kiểm toán theo quy định của chuẩn mực kiểm toán</w:t>
            </w:r>
          </w:p>
        </w:tc>
        <w:tc>
          <w:tcPr>
            <w:tcW w:w="1885" w:type="dxa"/>
            <w:vMerge/>
            <w:vAlign w:val="center"/>
          </w:tcPr>
          <w:p w:rsidR="009464F5" w:rsidRDefault="009464F5" w:rsidP="009464F5">
            <w:pPr>
              <w:spacing w:before="100" w:after="100"/>
              <w:ind w:left="69"/>
            </w:pPr>
          </w:p>
        </w:tc>
      </w:tr>
      <w:tr w:rsidR="009464F5" w:rsidTr="009464F5">
        <w:tc>
          <w:tcPr>
            <w:tcW w:w="445" w:type="dxa"/>
            <w:vMerge w:val="restart"/>
            <w:vAlign w:val="center"/>
          </w:tcPr>
          <w:p w:rsidR="009464F5" w:rsidRDefault="009464F5" w:rsidP="009464F5">
            <w:pPr>
              <w:spacing w:before="100" w:after="100"/>
              <w:jc w:val="center"/>
            </w:pPr>
            <w:r>
              <w:t>9</w:t>
            </w:r>
          </w:p>
        </w:tc>
        <w:tc>
          <w:tcPr>
            <w:tcW w:w="1530" w:type="dxa"/>
            <w:vMerge w:val="restart"/>
            <w:vAlign w:val="center"/>
          </w:tcPr>
          <w:p w:rsidR="009464F5" w:rsidRDefault="009464F5" w:rsidP="009464F5">
            <w:pPr>
              <w:spacing w:before="100" w:after="100"/>
              <w:ind w:left="69"/>
            </w:pPr>
            <w:r>
              <w:t>V</w:t>
            </w:r>
            <w:r w:rsidRPr="00C83F55">
              <w:t>i phạm quy định về tiêu hủy hồ sơ kiểm toán</w:t>
            </w:r>
          </w:p>
        </w:tc>
        <w:tc>
          <w:tcPr>
            <w:tcW w:w="5490" w:type="dxa"/>
            <w:vAlign w:val="center"/>
          </w:tcPr>
          <w:p w:rsidR="009464F5" w:rsidRDefault="009464F5" w:rsidP="009464F5">
            <w:pPr>
              <w:spacing w:before="100" w:after="100"/>
              <w:ind w:left="69"/>
            </w:pPr>
            <w:r>
              <w:t>D</w:t>
            </w:r>
            <w:r w:rsidRPr="00C83F55">
              <w:t>oanh nghiệp kiểm toán</w:t>
            </w:r>
            <w:r>
              <w:t xml:space="preserve"> quyết </w:t>
            </w:r>
            <w:r w:rsidRPr="00C83F55">
              <w:t>định tiêu hủy hồ sơ kiểm toán không đúng thẩm quyền</w:t>
            </w:r>
          </w:p>
        </w:tc>
        <w:tc>
          <w:tcPr>
            <w:tcW w:w="1885" w:type="dxa"/>
            <w:vMerge w:val="restart"/>
            <w:vAlign w:val="center"/>
          </w:tcPr>
          <w:p w:rsidR="009464F5" w:rsidRDefault="009464F5" w:rsidP="009464F5">
            <w:pPr>
              <w:spacing w:before="100" w:after="100"/>
              <w:ind w:left="69"/>
            </w:pPr>
            <w:r w:rsidRPr="00C83F55">
              <w:t>Phạt tiền từ 10.000.000 đồng đến 20.000.000 đồng</w:t>
            </w: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C83F55">
              <w:t>oanh nghiệp kiểm toán</w:t>
            </w:r>
            <w:r>
              <w:t xml:space="preserve"> tiêu </w:t>
            </w:r>
            <w:r w:rsidRPr="00C83F55">
              <w:t>hủy hồ sơ kiểm toán không thành lập hội đồng tiêu hủy, không thực hiện đúng phương pháp, thủ tục tiêu hủy và không lập danh mục hồ sơ kiểm toán tiêu hủy, không lập biên bản tiêu hủy hồ sơ kiểm toán hết thời hạn lưu trữ theo quy định</w:t>
            </w:r>
          </w:p>
        </w:tc>
        <w:tc>
          <w:tcPr>
            <w:tcW w:w="1885" w:type="dxa"/>
            <w:vMerge/>
            <w:vAlign w:val="center"/>
          </w:tcPr>
          <w:p w:rsidR="009464F5" w:rsidRDefault="009464F5" w:rsidP="009464F5">
            <w:pPr>
              <w:spacing w:before="100" w:after="100"/>
              <w:ind w:left="69"/>
            </w:pPr>
          </w:p>
        </w:tc>
      </w:tr>
      <w:tr w:rsidR="009464F5" w:rsidTr="009464F5">
        <w:tc>
          <w:tcPr>
            <w:tcW w:w="445" w:type="dxa"/>
            <w:vMerge/>
            <w:vAlign w:val="center"/>
          </w:tcPr>
          <w:p w:rsidR="009464F5" w:rsidRDefault="009464F5" w:rsidP="009464F5">
            <w:pPr>
              <w:spacing w:before="100" w:after="100"/>
              <w:jc w:val="center"/>
            </w:pPr>
          </w:p>
        </w:tc>
        <w:tc>
          <w:tcPr>
            <w:tcW w:w="1530" w:type="dxa"/>
            <w:vMerge/>
            <w:vAlign w:val="center"/>
          </w:tcPr>
          <w:p w:rsidR="009464F5" w:rsidRDefault="009464F5" w:rsidP="009464F5">
            <w:pPr>
              <w:spacing w:before="100" w:after="100"/>
              <w:ind w:left="69"/>
            </w:pPr>
          </w:p>
        </w:tc>
        <w:tc>
          <w:tcPr>
            <w:tcW w:w="5490" w:type="dxa"/>
            <w:vAlign w:val="center"/>
          </w:tcPr>
          <w:p w:rsidR="009464F5" w:rsidRDefault="009464F5" w:rsidP="009464F5">
            <w:pPr>
              <w:spacing w:before="100" w:after="100"/>
              <w:ind w:left="69"/>
            </w:pPr>
            <w:r>
              <w:t>D</w:t>
            </w:r>
            <w:r w:rsidRPr="00C83F55">
              <w:t>oanh nghiệp kiểm toán thực hiện việc hủy bỏ hồ sơ kiểm toán khi chưa hết thời hạn lưu trữ theo quy định hoặc cố ý làm hư hỏng hồ sơ kiểm toán</w:t>
            </w:r>
          </w:p>
        </w:tc>
        <w:tc>
          <w:tcPr>
            <w:tcW w:w="1885" w:type="dxa"/>
            <w:vAlign w:val="center"/>
          </w:tcPr>
          <w:p w:rsidR="009464F5" w:rsidRDefault="009464F5" w:rsidP="009464F5">
            <w:pPr>
              <w:spacing w:before="100" w:after="100"/>
              <w:ind w:left="69"/>
            </w:pPr>
            <w:r w:rsidRPr="00C83F55">
              <w:t>Phạt tiền từ 20.000.000 đồng đến 30.000.000 đồng</w:t>
            </w:r>
          </w:p>
        </w:tc>
      </w:tr>
    </w:tbl>
    <w:p w:rsidR="00F610D0" w:rsidRDefault="00F610D0"/>
    <w:p w:rsidR="007456BA" w:rsidRDefault="007456BA">
      <w:r>
        <w:t xml:space="preserve">Căn cứ pháp lý: </w:t>
      </w:r>
      <w:hyperlink r:id="rId4" w:tgtFrame="_blank" w:history="1">
        <w:r w:rsidRPr="007456BA">
          <w:rPr>
            <w:rStyle w:val="Hyperlink"/>
            <w:b/>
            <w:bCs/>
          </w:rPr>
          <w:t>Nghị định 41/2018/NĐ-CP</w:t>
        </w:r>
      </w:hyperlink>
      <w:r w:rsidRPr="007456BA">
        <w:t xml:space="preserve"> quy định xử phạt </w:t>
      </w:r>
      <w:proofErr w:type="gramStart"/>
      <w:r w:rsidRPr="007456BA">
        <w:t>vi</w:t>
      </w:r>
      <w:proofErr w:type="gramEnd"/>
      <w:r w:rsidRPr="007456BA">
        <w:t xml:space="preserve"> phạm hành chính trong lĩnh vực kế toán, kiểm toán độc lập.</w:t>
      </w:r>
    </w:p>
    <w:sectPr w:rsidR="0074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D0"/>
    <w:rsid w:val="00051021"/>
    <w:rsid w:val="000869D0"/>
    <w:rsid w:val="002067B9"/>
    <w:rsid w:val="00335558"/>
    <w:rsid w:val="007456BA"/>
    <w:rsid w:val="00790A46"/>
    <w:rsid w:val="008C6DE9"/>
    <w:rsid w:val="009464F5"/>
    <w:rsid w:val="00BB0500"/>
    <w:rsid w:val="00C83F55"/>
    <w:rsid w:val="00F6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37C37-ADDA-4E72-9365-11E13305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5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41-2018-nd-cp-xu-phat-vi-pham-hanh-chinh-trong-linh-vuc-ke-toan-kiem-toan-doc-lap-58bd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2020-05-04T02:19:00Z</dcterms:created>
  <dcterms:modified xsi:type="dcterms:W3CDTF">2020-05-04T02:19:00Z</dcterms:modified>
</cp:coreProperties>
</file>